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0047BB"/>
          <w:sz w:val="28"/>
          <w:szCs w:val="28"/>
        </w:rPr>
        <w:t xml:space="preserve">ANEXO X</w:t>
      </w:r>
    </w:p>
    <w:p>
      <w:pPr>
        <w:pBdr>
          <w:bottom w:val="single" w:color="0047BB" w:sz="8" w:space="6"/>
        </w:pBdr>
        <w:spacing w:after="240"/>
      </w:pPr>
      <w:r>
        <w:rPr>
          <w:b/>
          <w:bCs/>
          <w:color w:val="1F1F1F"/>
          <w:sz w:val="24"/>
          <w:szCs w:val="24"/>
        </w:rPr>
        <w:t xml:space="preserve">Catálogo de Situaciones Comprometidas en el Ámbito Deportivo</w:t>
      </w:r>
    </w:p>
    <w:p>
      <w:pPr>
        <w:spacing w:after="120" w:line="276"/>
        <w:jc w:val="both"/>
      </w:pPr>
      <w:r>
        <w:t xml:space="preserve">Este primer catálogo distingue cuatro grandes categorías de situaciones comprometidas:</w:t>
      </w:r>
    </w:p>
    <w:p>
      <w:pPr>
        <w:pStyle w:val="Heading3"/>
        <w:keepNext/>
        <w:spacing w:after="100" w:before="200"/>
      </w:pPr>
      <w:r>
        <w:rPr>
          <w:b/>
          <w:bCs/>
          <w:color w:val="0047BB"/>
          <w:sz w:val="22"/>
          <w:szCs w:val="22"/>
        </w:rPr>
        <w:t xml:space="preserve">1. Situaciones generales</w:t>
      </w:r>
    </w:p>
    <w:p>
      <w:pPr>
        <w:spacing w:after="120" w:line="276"/>
        <w:ind w:left="700" w:hanging="340"/>
        <w:jc w:val="both"/>
      </w:pPr>
      <w:r>
        <w:t xml:space="preserve">a. Hacer preguntas sobre la vida sexual.</w:t>
      </w:r>
    </w:p>
    <w:p>
      <w:pPr>
        <w:spacing w:after="120" w:line="276"/>
        <w:ind w:left="700" w:hanging="340"/>
        <w:jc w:val="both"/>
      </w:pPr>
      <w:r>
        <w:t xml:space="preserve">b. Inmiscuirse en la vida privada.</w:t>
      </w:r>
    </w:p>
    <w:p>
      <w:pPr>
        <w:spacing w:after="120" w:line="276"/>
        <w:ind w:left="700" w:hanging="340"/>
        <w:jc w:val="both"/>
      </w:pPr>
      <w:r>
        <w:t xml:space="preserve">c. Ejercer o querer ejercer control sobre la vida privada.</w:t>
      </w:r>
    </w:p>
    <w:p>
      <w:pPr>
        <w:spacing w:after="120" w:line="276"/>
        <w:ind w:left="700" w:hanging="340"/>
        <w:jc w:val="both"/>
      </w:pPr>
      <w:r>
        <w:t xml:space="preserve">d. Recogerles en el centro de trabajo, centro educativo o centro deportivo sin justificación.</w:t>
      </w:r>
    </w:p>
    <w:p>
      <w:pPr>
        <w:spacing w:after="120" w:line="276"/>
        <w:ind w:left="700" w:hanging="340"/>
        <w:jc w:val="both"/>
      </w:pPr>
      <w:r>
        <w:t xml:space="preserve">e. Provocar encuentros aparentemente casuales o reiterados.</w:t>
      </w:r>
    </w:p>
    <w:p>
      <w:pPr>
        <w:spacing w:after="120" w:line="276"/>
        <w:ind w:left="700" w:hanging="340"/>
        <w:jc w:val="both"/>
      </w:pPr>
      <w:r>
        <w:t xml:space="preserve">f. Entrar en el vestuario sin permiso.</w:t>
      </w:r>
    </w:p>
    <w:p>
      <w:pPr>
        <w:spacing w:after="120" w:line="276"/>
        <w:ind w:left="700" w:hanging="340"/>
        <w:jc w:val="both"/>
      </w:pPr>
      <w:r>
        <w:t xml:space="preserve">g. Permanecer en el vestuario mientras se duchan o se cambian.</w:t>
      </w:r>
    </w:p>
    <w:p>
      <w:pPr>
        <w:spacing w:after="120" w:line="276"/>
        <w:ind w:left="700" w:hanging="340"/>
        <w:jc w:val="both"/>
      </w:pPr>
      <w:r>
        <w:t xml:space="preserve">h. Observar clandestinamente en vestuarios, servicios o zonas de descanso, o colocar dispositivos de grabación de audio o imágenes.</w:t>
      </w:r>
    </w:p>
    <w:p>
      <w:pPr>
        <w:spacing w:after="120" w:line="276"/>
        <w:ind w:left="700" w:hanging="340"/>
        <w:jc w:val="both"/>
      </w:pPr>
      <w:r>
        <w:t xml:space="preserve">i. Forzar, con palabras o hechos, la falta de privacidad en actos personales.</w:t>
      </w:r>
    </w:p>
    <w:p>
      <w:pPr>
        <w:spacing w:after="120" w:line="276"/>
        <w:ind w:left="700" w:hanging="340"/>
        <w:jc w:val="both"/>
      </w:pPr>
      <w:r>
        <w:t xml:space="preserve">j. Establecer relaciones personales duales (entrenador/a con jugador/a u otras similares).</w:t>
      </w:r>
    </w:p>
    <w:p>
      <w:pPr>
        <w:spacing w:after="120" w:line="276"/>
        <w:ind w:left="700" w:hanging="340"/>
        <w:jc w:val="both"/>
      </w:pPr>
      <w:r>
        <w:t xml:space="preserve">k. Compartir vestuario entrenadores, técnicos u otros adultos con jugadores menores.</w:t>
      </w:r>
    </w:p>
    <w:p>
      <w:pPr>
        <w:spacing w:after="120" w:line="276"/>
        <w:ind w:left="700" w:hanging="340"/>
        <w:jc w:val="both"/>
      </w:pPr>
      <w:r>
        <w:t xml:space="preserve">l. Fomentar el consumo de alcohol.</w:t>
      </w:r>
    </w:p>
    <w:p>
      <w:pPr>
        <w:spacing w:after="120" w:line="276"/>
        <w:ind w:left="700" w:hanging="340"/>
        <w:jc w:val="both"/>
      </w:pPr>
      <w:r>
        <w:t xml:space="preserve">m. Compartir habitación o espacios con la puerta bloqueada adultos y menores.</w:t>
      </w:r>
    </w:p>
    <w:p>
      <w:pPr>
        <w:spacing w:after="120" w:line="276"/>
        <w:ind w:left="700" w:hanging="340"/>
        <w:jc w:val="both"/>
      </w:pPr>
      <w:r>
        <w:t xml:space="preserve">n. Convocar a sesiones individuales de entrenamiento u otras sin autorización.</w:t>
      </w:r>
    </w:p>
    <w:p>
      <w:pPr>
        <w:spacing w:after="120" w:line="276"/>
        <w:ind w:left="700" w:hanging="340"/>
        <w:jc w:val="both"/>
      </w:pPr>
      <w:r>
        <w:t xml:space="preserve">o. Invitar al domicilio particular a jugadores u otros menores.</w:t>
      </w:r>
    </w:p>
    <w:p>
      <w:pPr>
        <w:spacing w:after="120" w:line="276"/>
        <w:ind w:left="700" w:hanging="340"/>
        <w:jc w:val="both"/>
      </w:pPr>
      <w:r>
        <w:t xml:space="preserve">p. Hacer propuestas, invitaciones o incitaciones de carácter sexual.</w:t>
      </w:r>
    </w:p>
    <w:p>
      <w:pPr>
        <w:pStyle w:val="Heading3"/>
        <w:keepNext/>
        <w:spacing w:after="100" w:before="200"/>
      </w:pPr>
      <w:r>
        <w:rPr>
          <w:b/>
          <w:bCs/>
          <w:color w:val="0047BB"/>
          <w:sz w:val="22"/>
          <w:szCs w:val="22"/>
        </w:rPr>
        <w:t xml:space="preserve">2. Situaciones producidas por comunicación verbal</w:t>
      </w:r>
    </w:p>
    <w:p>
      <w:pPr>
        <w:spacing w:after="120" w:line="276"/>
        <w:ind w:left="700" w:hanging="340"/>
        <w:jc w:val="both"/>
      </w:pPr>
      <w:r>
        <w:t xml:space="preserve">a. Comentarios despectivos o sexistas.</w:t>
      </w:r>
    </w:p>
    <w:p>
      <w:pPr>
        <w:spacing w:after="120" w:line="276"/>
        <w:ind w:left="700" w:hanging="340"/>
        <w:jc w:val="both"/>
      </w:pPr>
      <w:r>
        <w:t xml:space="preserve">b. Bromas, burlas o chistes que ridiculizan a las personas por su sexo.</w:t>
      </w:r>
    </w:p>
    <w:p>
      <w:pPr>
        <w:spacing w:after="120" w:line="276"/>
        <w:ind w:left="700" w:hanging="340"/>
        <w:jc w:val="both"/>
      </w:pPr>
      <w:r>
        <w:t xml:space="preserve">c. Bromas, burlas o chistes que ridiculizan a las personas por su aspecto o características corporales.</w:t>
      </w:r>
    </w:p>
    <w:p>
      <w:pPr>
        <w:spacing w:after="120" w:line="276"/>
        <w:ind w:left="700" w:hanging="340"/>
        <w:jc w:val="both"/>
      </w:pPr>
      <w:r>
        <w:t xml:space="preserve">d. Bromas, burlas o chistes que ridiculizan a las personas por su forma de vestir o arreglarse.</w:t>
      </w:r>
    </w:p>
    <w:p>
      <w:pPr>
        <w:spacing w:after="120" w:line="276"/>
        <w:ind w:left="700" w:hanging="340"/>
        <w:jc w:val="both"/>
      </w:pPr>
      <w:r>
        <w:t xml:space="preserve">e. Palabras soeces o expresiones de naturaleza sexual.</w:t>
      </w:r>
    </w:p>
    <w:p>
      <w:pPr>
        <w:spacing w:after="120" w:line="276"/>
        <w:ind w:left="700" w:hanging="340"/>
        <w:jc w:val="both"/>
      </w:pPr>
      <w:r>
        <w:t xml:space="preserve">f. Expresiones, bromas u opiniones homófobas, lesbófobas o tránsfobas, de carácter general o con alusión a la orientación sexual de un jugador u otro menor.</w:t>
      </w:r>
    </w:p>
    <w:p>
      <w:pPr>
        <w:spacing w:after="120" w:line="276"/>
        <w:ind w:left="700" w:hanging="340"/>
        <w:jc w:val="both"/>
      </w:pPr>
      <w:r>
        <w:t xml:space="preserve">g. Expresiones agresivas que provoquen malestar o un ambiente hostil.</w:t>
      </w:r>
    </w:p>
    <w:p>
      <w:pPr>
        <w:spacing w:after="120" w:line="276"/>
        <w:ind w:left="700" w:hanging="340"/>
        <w:jc w:val="both"/>
      </w:pPr>
      <w:r>
        <w:t xml:space="preserve">h. Expresiones agresivas que provoquen miedo o terror.</w:t>
      </w:r>
    </w:p>
    <w:p>
      <w:pPr>
        <w:spacing w:after="120" w:line="276"/>
        <w:ind w:left="700" w:hanging="340"/>
        <w:jc w:val="both"/>
      </w:pPr>
      <w:r>
        <w:t xml:space="preserve">i. Insultos o faltas de respeto con connotaciones sexuales.</w:t>
      </w:r>
    </w:p>
    <w:p>
      <w:pPr>
        <w:spacing w:after="120" w:line="276"/>
        <w:ind w:left="700" w:hanging="340"/>
        <w:jc w:val="both"/>
      </w:pPr>
      <w:r>
        <w:t xml:space="preserve">j. Explicaciones, instrucciones o correcciones que incluyan faltas de respeto, palabras groseras o insultos.</w:t>
      </w:r>
    </w:p>
    <w:p>
      <w:pPr>
        <w:spacing w:after="120" w:line="276"/>
        <w:ind w:left="700" w:hanging="340"/>
        <w:jc w:val="both"/>
      </w:pPr>
      <w:r>
        <w:t xml:space="preserve">k. Intimidación verbal mediante propuestas de carácter sexual.</w:t>
      </w:r>
    </w:p>
    <w:p>
      <w:pPr>
        <w:pStyle w:val="Heading3"/>
        <w:keepNext/>
        <w:spacing w:after="100" w:before="200"/>
      </w:pPr>
      <w:r>
        <w:rPr>
          <w:b/>
          <w:bCs/>
          <w:color w:val="0047BB"/>
          <w:sz w:val="22"/>
          <w:szCs w:val="22"/>
        </w:rPr>
        <w:t xml:space="preserve">3. Situaciones producidas por actos o gestos de naturaleza sexual</w:t>
      </w:r>
    </w:p>
    <w:p>
      <w:pPr>
        <w:spacing w:after="120" w:line="276"/>
        <w:ind w:left="700" w:hanging="340"/>
        <w:jc w:val="both"/>
      </w:pPr>
      <w:r>
        <w:t xml:space="preserve">a. Miradas lascivas o insistentes.</w:t>
      </w:r>
    </w:p>
    <w:p>
      <w:pPr>
        <w:spacing w:after="120" w:line="276"/>
        <w:ind w:left="700" w:hanging="340"/>
        <w:jc w:val="both"/>
      </w:pPr>
      <w:r>
        <w:t xml:space="preserve">b. Silbidos u otras expresiones sonoras.</w:t>
      </w:r>
    </w:p>
    <w:p>
      <w:pPr>
        <w:spacing w:after="120" w:line="276"/>
        <w:ind w:left="700" w:hanging="340"/>
        <w:jc w:val="both"/>
      </w:pPr>
      <w:r>
        <w:t xml:space="preserve">c. Expresiones faciales o corporales.</w:t>
      </w:r>
    </w:p>
    <w:p>
      <w:pPr>
        <w:spacing w:after="120" w:line="276"/>
        <w:ind w:left="700" w:hanging="340"/>
        <w:jc w:val="both"/>
      </w:pPr>
      <w:r>
        <w:t xml:space="preserve">d. Exhibición de imágenes u objetos de contenido sexual, violento, racista o grosero.</w:t>
      </w:r>
    </w:p>
    <w:p>
      <w:pPr>
        <w:spacing w:after="120" w:line="276"/>
        <w:ind w:left="700" w:hanging="340"/>
        <w:jc w:val="both"/>
      </w:pPr>
      <w:r>
        <w:t xml:space="preserve">e. Visualización de vídeos eróticos, pornográficos, racistas o groseros.</w:t>
      </w:r>
    </w:p>
    <w:p>
      <w:pPr>
        <w:spacing w:after="120" w:line="276"/>
        <w:ind w:left="700" w:hanging="340"/>
        <w:jc w:val="both"/>
      </w:pPr>
      <w:r>
        <w:t xml:space="preserve">f. Reproducción de música con letras de contenido sexual, violento, racista o grosero.</w:t>
      </w:r>
    </w:p>
    <w:p>
      <w:pPr>
        <w:spacing w:after="120" w:line="276"/>
        <w:ind w:left="700" w:hanging="340"/>
        <w:jc w:val="both"/>
      </w:pPr>
      <w:r>
        <w:t xml:space="preserve">g. Utilización inadecuada de las nuevas tecnologías.</w:t>
      </w:r>
    </w:p>
    <w:p>
      <w:pPr>
        <w:spacing w:after="120" w:line="276"/>
        <w:ind w:left="700" w:hanging="340"/>
        <w:jc w:val="both"/>
      </w:pPr>
      <w:r>
        <w:t xml:space="preserve">h. Mensajes incómodos, por cualquier motivo, a través de aplicaciones de mensajería instantánea.</w:t>
      </w:r>
    </w:p>
    <w:p>
      <w:pPr>
        <w:spacing w:after="120" w:line="276"/>
        <w:ind w:left="700" w:hanging="340"/>
        <w:jc w:val="both"/>
      </w:pPr>
      <w:r>
        <w:t xml:space="preserve">i. Comunicación o seguimiento no deseado a través de redes sociales.</w:t>
      </w:r>
    </w:p>
    <w:p>
      <w:pPr>
        <w:spacing w:after="120" w:line="276"/>
        <w:ind w:left="700" w:hanging="340"/>
        <w:jc w:val="both"/>
      </w:pPr>
      <w:r>
        <w:t xml:space="preserve">j. Correos electrónicos con contenido sexual, violento, racista o grosero.</w:t>
      </w:r>
    </w:p>
    <w:p>
      <w:pPr>
        <w:spacing w:after="120" w:line="276"/>
        <w:ind w:left="700" w:hanging="340"/>
        <w:jc w:val="both"/>
      </w:pPr>
      <w:r>
        <w:t xml:space="preserve">k. Llamadas perdidas insistentes.</w:t>
      </w:r>
    </w:p>
    <w:p>
      <w:pPr>
        <w:spacing w:after="120" w:line="276"/>
        <w:ind w:left="700" w:hanging="340"/>
        <w:jc w:val="both"/>
      </w:pPr>
      <w:r>
        <w:t xml:space="preserve">l. Distribución de contenido sexual, violento, racista o grosero en grupos de WhatsApp, Telegram u otras aplicaciones.</w:t>
      </w:r>
    </w:p>
    <w:p>
      <w:pPr>
        <w:spacing w:after="120" w:line="276"/>
        <w:ind w:left="700" w:hanging="340"/>
        <w:jc w:val="both"/>
      </w:pPr>
      <w:r>
        <w:t xml:space="preserve">m. Hacerse fotos, o distribuirlas, en el vestuario u otras zonas en actitudes o situaciones incómodas o groseras para quien las puede ver.</w:t>
      </w:r>
    </w:p>
    <w:p>
      <w:pPr>
        <w:pStyle w:val="Heading3"/>
        <w:keepNext/>
        <w:spacing w:after="100" w:before="200"/>
      </w:pPr>
      <w:r>
        <w:rPr>
          <w:b/>
          <w:bCs/>
          <w:color w:val="0047BB"/>
          <w:sz w:val="22"/>
          <w:szCs w:val="22"/>
        </w:rPr>
        <w:t xml:space="preserve">4. Situaciones producidas por contacto físico</w:t>
      </w:r>
    </w:p>
    <w:p>
      <w:pPr>
        <w:spacing w:after="120" w:line="276"/>
        <w:ind w:left="700" w:hanging="340"/>
        <w:jc w:val="both"/>
      </w:pPr>
      <w:r>
        <w:t xml:space="preserve">a. Acercamiento corporal excesivo e inadecuado: abrazos, achuchones, besos y otros.</w:t>
      </w:r>
    </w:p>
    <w:p>
      <w:pPr>
        <w:spacing w:after="120" w:line="276"/>
        <w:ind w:left="700" w:hanging="340"/>
        <w:jc w:val="both"/>
      </w:pPr>
      <w:r>
        <w:t xml:space="preserve">b. Pellizcos o cachetes.</w:t>
      </w:r>
    </w:p>
    <w:p>
      <w:pPr>
        <w:spacing w:after="120" w:line="276"/>
        <w:ind w:left="700" w:hanging="340"/>
        <w:jc w:val="both"/>
      </w:pPr>
      <w:r>
        <w:t xml:space="preserve">c. Tocamientos no consentidos.</w:t>
      </w:r>
    </w:p>
    <w:p>
      <w:pPr>
        <w:spacing w:after="120" w:line="276"/>
        <w:ind w:left="700" w:hanging="340"/>
        <w:jc w:val="both"/>
      </w:pPr>
      <w:r>
        <w:t xml:space="preserve">d. Actos sexuales, o intentos, no consentidos.</w:t>
      </w:r>
    </w:p>
    <w:p>
      <w:pPr>
        <w:spacing w:after="120" w:line="276"/>
        <w:ind w:left="700" w:hanging="340"/>
        <w:jc w:val="both"/>
      </w:pPr>
      <w:r>
        <w:t xml:space="preserve">e. Violación o intento de violación.</w:t>
      </w:r>
    </w:p>
    <w:p>
      <w:pPr>
        <w:spacing w:after="120" w:line="276"/>
        <w:jc w:val="both"/>
      </w:pPr>
      <w:r>
        <w:t xml:space="preserve">Este catálogo es una primera aproximación que se actualizará, como mínimo, al inicio de cada temporada o cuando una situación lo justifique. En ningún caso es un catálogo cerrado.</w:t>
      </w:r>
    </w:p>
    <w:sectPr>
      <w:headerReference w:type="default" r:id="rId6"/>
      <w:footerReference w:type="default" r:id="rId7"/>
      <w:pgSz w:w="11906" w:h="16838" w:orient="portrait"/>
      <w:pgMar w:top="1300" w:right="1134" w:bottom="1134" w:left="1134" w:header="6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95959"/>
        <w:sz w:val="18"/>
        <w:szCs w:val="18"/>
      </w:rPr>
      <w:t xml:space="preserve">Página </w:t>
    </w:r>
    <w:r>
      <w:rPr>
        <w:b/>
        <w:bCs/>
        <w:color w:val="0047B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8"/>
        <w:szCs w:val="18"/>
      </w:rPr>
      <w:t xml:space="preserve"> | </w:t>
    </w:r>
    <w:r>
      <w:rPr>
        <w:color w:val="0047B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47BB" w:sz="6" w:space="4"/>
      </w:pBdr>
      <w:tabs>
        <w:tab w:val="right" w:pos="9638"/>
      </w:tabs>
    </w:pPr>
    <w:r>
      <w:drawing>
        <wp:inline distT="0" distB="0" distL="0" distR="0">
          <wp:extent cx="323850" cy="323850"/>
          <wp:effectExtent t="0" r="0" b="0" l="0"/>
          <wp:docPr id="27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47BB"/>
        <w:sz w:val="18"/>
        <w:szCs w:val="18"/>
      </w:rPr>
      <w:t xml:space="preserve">	Protocolo LOPIVI · CRC Pozuelo Rugby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0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69eeb6110b8e61b5c8edf7ea793c602cd2fa6f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LOPIVI CRC Pozuelo</dc:title>
  <dc:creator>CRC Pozuelo Rugby</dc:creator>
  <cp:lastModifiedBy>Un-named</cp:lastModifiedBy>
  <cp:revision>1</cp:revision>
  <dcterms:created xsi:type="dcterms:W3CDTF">2026-10-28T17:13:46.741Z</dcterms:created>
  <dcterms:modified xsi:type="dcterms:W3CDTF">2026-10-28T17:13:46.741Z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