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/>
      </w:pPr>
      <w:r>
        <w:rPr>
          <w:b/>
          <w:bCs/>
          <w:color w:val="0047BB"/>
          <w:sz w:val="28"/>
          <w:szCs w:val="28"/>
        </w:rPr>
        <w:t xml:space="preserve">ANEXO IX</w:t>
      </w:r>
    </w:p>
    <w:p>
      <w:pPr>
        <w:pBdr>
          <w:bottom w:val="single" w:color="0047BB" w:sz="8" w:space="6"/>
        </w:pBdr>
        <w:spacing w:after="240"/>
      </w:pPr>
      <w:r>
        <w:rPr>
          <w:b/>
          <w:bCs/>
          <w:color w:val="1F1F1F"/>
          <w:sz w:val="24"/>
          <w:szCs w:val="24"/>
        </w:rPr>
        <w:t xml:space="preserve">Procedimiento para la Prevención de la Violencia en la Entrega de Trofeos</w:t>
      </w:r>
    </w:p>
    <w:p>
      <w:pPr>
        <w:spacing w:after="120" w:line="276"/>
        <w:jc w:val="both"/>
      </w:pPr>
      <w:r>
        <w:t xml:space="preserve">La entrega de premios es un momento relevante en el que confluyen sentimientos de alegría y de frustración tras el esfuerzo realizado. Es fundamental que se desarrolle de forma respetuosa y segura, sin generar incomodidad, desconfianza o situaciones de humillación, ni para quienes reciben los premios ni para quienes los entregan.</w:t>
      </w:r>
    </w:p>
    <w:p>
      <w:pPr>
        <w:spacing w:after="120" w:line="276"/>
        <w:jc w:val="both"/>
      </w:pPr>
      <w:r>
        <w:t xml:space="preserve">En los torneos y eventos organizados por el Club se aplicarán las siguientes actuaciones: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El personal que participe en la ceremonia (speaker, azafatos/as, etc.) tendrá formación básica sobre su función y llevará una vestimenta apropiada, que no reproduzca estereotipos sexistas.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El protocolo del acto estará planificado y comunicado previamente a todos los participantes, incluidas las normas de vestimenta de los jugadores que recogen los premios.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Todo el material y la instalación (pódium, banderas, medallas, trofeos, etc.) serán seguros, con especial atención a los que se utilicen con niños y niñas de corta edad.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El diseño de los trofeos evitará marcas sexistas o la representación simbólica de un solo sexo.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Se entregará el mismo premio por categoría y sexo, sin desigualdades de tamaño, forma, cantidad o calidad, y sin obsequios adicionales diferenciados por sexo.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Las autoridades o representantes que entreguen los premios se abstendrán de besar a los jugadores, en particular a los menores; se recomienda el mismo criterio (tradicionalmente, un apretón de manos) para chicos y chicas.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Siempre que sea posible, habrá paridad entre hombres y mujeres en la entrega de premios.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En las locuciones se evitarán expresiones o comentarios inadecuados, en particular comentarios sexistas o bromas de naturaleza sexual.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No se perpetuarán conductas que utilicen a las mujeres o su cuerpo como ofrenda.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t xml:space="preserve">Cualquier acoso o abuso a un jugador o jugadora por parte de quien entrega los premios conllevará consecuencias disciplinarias cuando sea miembro del Club, y se comunicará a las autoridades y entidades competentes en los demás casos.</w:t>
      </w:r>
    </w:p>
    <w:sectPr>
      <w:headerReference w:type="default" r:id="rId6"/>
      <w:footerReference w:type="default" r:id="rId7"/>
      <w:pgSz w:w="11906" w:h="16838" w:orient="portrait"/>
      <w:pgMar w:top="1300" w:right="1134" w:bottom="1134" w:left="1134" w:header="600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95959"/>
        <w:sz w:val="18"/>
        <w:szCs w:val="18"/>
      </w:rPr>
      <w:t xml:space="preserve">Página </w:t>
    </w:r>
    <w:r>
      <w:rPr>
        <w:b/>
        <w:bCs/>
        <w:color w:val="0047B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8"/>
        <w:szCs w:val="18"/>
      </w:rPr>
      <w:t xml:space="preserve"> | </w:t>
    </w:r>
    <w:r>
      <w:rPr>
        <w:color w:val="0047B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47BB" w:sz="6" w:space="4"/>
      </w:pBdr>
      <w:tabs>
        <w:tab w:val="right" w:pos="9638"/>
      </w:tabs>
    </w:pPr>
    <w:r>
      <w:drawing>
        <wp:inline distT="0" distB="0" distL="0" distR="0">
          <wp:extent cx="323850" cy="323850"/>
          <wp:effectExtent t="0" r="0" b="0" l="0"/>
          <wp:docPr id="26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047BB"/>
        <w:sz w:val="18"/>
        <w:szCs w:val="18"/>
      </w:rPr>
      <w:t xml:space="preserve">	Protocolo LOPIVI · CRC Pozuelo Rugby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0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69eeb6110b8e61b5c8edf7ea793c602cd2fa6f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LOPIVI CRC Pozuelo</dc:title>
  <dc:creator>CRC Pozuelo Rugby</dc:creator>
  <cp:lastModifiedBy>Un-named</cp:lastModifiedBy>
  <cp:revision>1</cp:revision>
  <dcterms:created xsi:type="dcterms:W3CDTF">2026-10-28T17:13:46.713Z</dcterms:created>
  <dcterms:modified xsi:type="dcterms:W3CDTF">2026-10-28T17:13:46.713Z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