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0047BB"/>
          <w:sz w:val="28"/>
          <w:szCs w:val="28"/>
        </w:rPr>
        <w:t xml:space="preserve">ANEXO III</w:t>
      </w:r>
    </w:p>
    <w:p>
      <w:pPr>
        <w:pBdr>
          <w:bottom w:val="single" w:color="0047BB" w:sz="8" w:space="6"/>
        </w:pBdr>
        <w:spacing w:after="240"/>
      </w:pPr>
      <w:r>
        <w:rPr>
          <w:b/>
          <w:bCs/>
          <w:color w:val="1F1F1F"/>
          <w:sz w:val="24"/>
          <w:szCs w:val="24"/>
        </w:rPr>
        <w:t xml:space="preserve">Procedimiento para la Prevención de la Violencia en Gradas y Zonas de Uso Público</w:t>
      </w:r>
    </w:p>
    <w:p>
      <w:pPr>
        <w:spacing w:after="120" w:line="276"/>
        <w:jc w:val="both"/>
      </w:pPr>
      <w:r>
        <w:t xml:space="preserve">En ocasiones, las conductas violentas provienen del público que asiste a los partidos; un claro ejemplo son los insultos dirigidos a árbitros, jugadores o entrenadores. El Club se compromete a hacer del rugby un ámbito seguro y saludable y a evitar que en sus instalaciones, y en los partidos que dispute, tengan lugar este tipo de conductas inaceptables. Para ello, el Club se compromete a: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Disponer de manera visible carteles o advertencias de no tolerancia de comportamientos violentos en las gradas.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Incluir una advertencia sobre la no tolerancia de la violencia en la comunicación que se realice para difundir o promocionar partidos y torneos.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Recordar por megafonía, cuando la haya, que en las instalaciones no se tolera la violencia.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En los partidos que dispute como local, el delegado de campo podrá solicitar a las autoridades responsables de la instalación el desalojo de la persona o personas que estén profiriendo insultos o teniendo comportamientos violentos.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El delegado de campo o de equipo informará de lo sucedido al Delegado de Protección del Club y emitirá un informe, para que el Club esté al tanto de lo ocurrido y, en su caso, lo traslade a la Federación de Rugby de Madrid.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Si la persona responsable es socia o familiar de un jugador del Club, la Junta Directiva podrá adoptar medidas inmediatas, como la retirada temporal o definitiva de la condición de socio o la prohibición de acceso a los partidos y entrenamientos.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Si la persona responsable es jugador/a, técnico o miembro de otro estamento del Club, se aplicarán las medidas previstas en este protocolo.</w:t>
      </w:r>
    </w:p>
    <w:sectPr>
      <w:headerReference w:type="default" r:id="rId6"/>
      <w:footerReference w:type="default" r:id="rId7"/>
      <w:pgSz w:w="11906" w:h="16838" w:orient="portrait"/>
      <w:pgMar w:top="1300" w:right="1134" w:bottom="1134" w:left="1134" w:header="60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95959"/>
        <w:sz w:val="18"/>
        <w:szCs w:val="18"/>
      </w:rPr>
      <w:t xml:space="preserve">Página </w:t>
    </w:r>
    <w:r>
      <w:rPr>
        <w:b/>
        <w:bCs/>
        <w:color w:val="0047B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8"/>
        <w:szCs w:val="18"/>
      </w:rPr>
      <w:t xml:space="preserve"> | </w:t>
    </w:r>
    <w:r>
      <w:rPr>
        <w:color w:val="0047B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47BB" w:sz="6" w:space="4"/>
      </w:pBdr>
      <w:tabs>
        <w:tab w:val="right" w:pos="9638"/>
      </w:tabs>
    </w:pPr>
    <w:r>
      <w:drawing>
        <wp:inline distT="0" distB="0" distL="0" distR="0">
          <wp:extent cx="323850" cy="323850"/>
          <wp:effectExtent t="0" r="0" b="0" l="0"/>
          <wp:docPr id="20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47BB"/>
        <w:sz w:val="18"/>
        <w:szCs w:val="18"/>
      </w:rPr>
      <w:t xml:space="preserve">	Protocolo LOPIVI · CRC Pozuelo Rugby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0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69eeb6110b8e61b5c8edf7ea793c602cd2fa6f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LOPIVI CRC Pozuelo</dc:title>
  <dc:creator>CRC Pozuelo Rugby</dc:creator>
  <cp:lastModifiedBy>Un-named</cp:lastModifiedBy>
  <cp:revision>1</cp:revision>
  <dcterms:created xsi:type="dcterms:W3CDTF">2026-10-28T17:13:46.534Z</dcterms:created>
  <dcterms:modified xsi:type="dcterms:W3CDTF">2026-10-28T17:13:46.534Z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